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0E" w:rsidRPr="00075170" w:rsidRDefault="00075170" w:rsidP="00DD0A0E">
      <w:pPr>
        <w:numPr>
          <w:ilvl w:val="0"/>
          <w:numId w:val="47"/>
        </w:numPr>
        <w:tabs>
          <w:tab w:val="clear" w:pos="1080"/>
          <w:tab w:val="left" w:pos="426"/>
        </w:tabs>
        <w:spacing w:before="120"/>
        <w:ind w:left="425" w:hanging="425"/>
        <w:jc w:val="both"/>
        <w:rPr>
          <w:rFonts w:ascii="Arial" w:hAnsi="Arial" w:cs="Arial"/>
          <w:bCs/>
          <w:spacing w:val="-3"/>
          <w:sz w:val="22"/>
          <w:szCs w:val="22"/>
        </w:rPr>
      </w:pPr>
      <w:bookmarkStart w:id="0" w:name="_GoBack"/>
      <w:bookmarkEnd w:id="0"/>
      <w:r w:rsidRPr="0030530F">
        <w:rPr>
          <w:rFonts w:ascii="Arial" w:hAnsi="Arial" w:cs="Arial"/>
          <w:bCs/>
          <w:spacing w:val="-3"/>
          <w:sz w:val="22"/>
          <w:szCs w:val="22"/>
          <w:u w:val="single"/>
        </w:rPr>
        <w:t xml:space="preserve">Amendments to the </w:t>
      </w:r>
      <w:r w:rsidRPr="0030530F">
        <w:rPr>
          <w:rFonts w:ascii="Arial" w:hAnsi="Arial" w:cs="Arial"/>
          <w:bCs/>
          <w:i/>
          <w:spacing w:val="-3"/>
          <w:sz w:val="22"/>
          <w:szCs w:val="22"/>
          <w:u w:val="single"/>
        </w:rPr>
        <w:t>State Penalties Enforcement Act 1999</w:t>
      </w:r>
      <w:r w:rsidRPr="00075170">
        <w:rPr>
          <w:rFonts w:ascii="Arial" w:hAnsi="Arial" w:cs="Arial"/>
          <w:bCs/>
          <w:spacing w:val="-3"/>
          <w:sz w:val="22"/>
          <w:szCs w:val="22"/>
        </w:rPr>
        <w:t xml:space="preserve">: </w:t>
      </w:r>
      <w:r w:rsidR="00DD0A0E">
        <w:rPr>
          <w:rFonts w:ascii="Arial" w:hAnsi="Arial" w:cs="Arial"/>
          <w:bCs/>
          <w:spacing w:val="-3"/>
          <w:sz w:val="22"/>
          <w:szCs w:val="22"/>
        </w:rPr>
        <w:t xml:space="preserve">The </w:t>
      </w:r>
      <w:r w:rsidR="00DD0A0E" w:rsidRPr="00DD0A0E">
        <w:rPr>
          <w:rFonts w:ascii="Arial" w:hAnsi="Arial" w:cs="Arial"/>
          <w:bCs/>
          <w:spacing w:val="-3"/>
          <w:sz w:val="22"/>
          <w:szCs w:val="22"/>
        </w:rPr>
        <w:t>State Penalties Enforcement and Other Legislation Amendment Bill 2009</w:t>
      </w:r>
      <w:r w:rsidR="00DD0A0E">
        <w:rPr>
          <w:rFonts w:ascii="Arial" w:hAnsi="Arial" w:cs="Arial"/>
          <w:bCs/>
          <w:spacing w:val="-3"/>
          <w:sz w:val="22"/>
          <w:szCs w:val="22"/>
        </w:rPr>
        <w:t xml:space="preserve"> (the Bill) a</w:t>
      </w:r>
      <w:r w:rsidR="00DD0A0E" w:rsidRPr="00075170">
        <w:rPr>
          <w:rFonts w:ascii="Arial" w:hAnsi="Arial" w:cs="Arial"/>
          <w:bCs/>
          <w:spacing w:val="-3"/>
          <w:sz w:val="22"/>
          <w:szCs w:val="22"/>
        </w:rPr>
        <w:t>mend</w:t>
      </w:r>
      <w:r w:rsidR="00DD0A0E">
        <w:rPr>
          <w:rFonts w:ascii="Arial" w:hAnsi="Arial" w:cs="Arial"/>
          <w:bCs/>
          <w:spacing w:val="-3"/>
          <w:sz w:val="22"/>
          <w:szCs w:val="22"/>
        </w:rPr>
        <w:t>s</w:t>
      </w:r>
      <w:r w:rsidR="00DD0A0E" w:rsidRPr="00075170">
        <w:rPr>
          <w:rFonts w:ascii="Arial" w:hAnsi="Arial" w:cs="Arial"/>
          <w:bCs/>
          <w:spacing w:val="-3"/>
          <w:sz w:val="22"/>
          <w:szCs w:val="22"/>
        </w:rPr>
        <w:t xml:space="preserve"> </w:t>
      </w:r>
      <w:r w:rsidR="00DD0A0E" w:rsidRPr="00C2123D">
        <w:rPr>
          <w:rFonts w:ascii="Arial" w:hAnsi="Arial" w:cs="Arial"/>
          <w:bCs/>
          <w:spacing w:val="-3"/>
          <w:sz w:val="22"/>
          <w:szCs w:val="22"/>
        </w:rPr>
        <w:t>th</w:t>
      </w:r>
      <w:r w:rsidR="00C2123D" w:rsidRPr="00C2123D">
        <w:rPr>
          <w:rFonts w:ascii="Arial" w:hAnsi="Arial" w:cs="Arial"/>
          <w:bCs/>
          <w:spacing w:val="-3"/>
          <w:sz w:val="22"/>
          <w:szCs w:val="22"/>
        </w:rPr>
        <w:t>at Act</w:t>
      </w:r>
      <w:r w:rsidR="00DD0A0E" w:rsidRPr="00075170">
        <w:rPr>
          <w:rFonts w:ascii="Arial" w:hAnsi="Arial" w:cs="Arial"/>
          <w:bCs/>
          <w:spacing w:val="-3"/>
          <w:sz w:val="22"/>
          <w:szCs w:val="22"/>
        </w:rPr>
        <w:t xml:space="preserve"> to:</w:t>
      </w:r>
    </w:p>
    <w:p w:rsidR="00DD0A0E" w:rsidRPr="00075170" w:rsidRDefault="00DD0A0E" w:rsidP="00C2123D">
      <w:pPr>
        <w:numPr>
          <w:ilvl w:val="1"/>
          <w:numId w:val="47"/>
        </w:numPr>
        <w:tabs>
          <w:tab w:val="clear" w:pos="1495"/>
          <w:tab w:val="num" w:pos="851"/>
        </w:tabs>
        <w:ind w:left="850" w:hanging="425"/>
        <w:jc w:val="both"/>
        <w:rPr>
          <w:rFonts w:ascii="Arial" w:hAnsi="Arial" w:cs="Arial"/>
          <w:bCs/>
          <w:spacing w:val="-3"/>
          <w:sz w:val="22"/>
          <w:szCs w:val="22"/>
        </w:rPr>
      </w:pPr>
      <w:r w:rsidRPr="00075170">
        <w:rPr>
          <w:rFonts w:ascii="Arial" w:hAnsi="Arial" w:cs="Arial"/>
          <w:bCs/>
          <w:spacing w:val="-3"/>
          <w:sz w:val="22"/>
          <w:szCs w:val="22"/>
        </w:rPr>
        <w:t>extend driver licence suspension to unpaid amounts for non-motor related offences</w:t>
      </w:r>
      <w:r w:rsidR="00E86C96">
        <w:rPr>
          <w:rFonts w:ascii="Arial" w:hAnsi="Arial" w:cs="Arial"/>
          <w:bCs/>
          <w:spacing w:val="-3"/>
          <w:sz w:val="22"/>
          <w:szCs w:val="22"/>
        </w:rPr>
        <w:t>;</w:t>
      </w:r>
    </w:p>
    <w:p w:rsidR="00DD0A0E" w:rsidRPr="00075170" w:rsidRDefault="00DD0A0E" w:rsidP="00C2123D">
      <w:pPr>
        <w:numPr>
          <w:ilvl w:val="1"/>
          <w:numId w:val="47"/>
        </w:numPr>
        <w:tabs>
          <w:tab w:val="clear" w:pos="1495"/>
          <w:tab w:val="num" w:pos="851"/>
        </w:tabs>
        <w:ind w:left="850" w:hanging="425"/>
        <w:jc w:val="both"/>
        <w:rPr>
          <w:rFonts w:ascii="Arial" w:hAnsi="Arial" w:cs="Arial"/>
          <w:bCs/>
          <w:spacing w:val="-3"/>
          <w:sz w:val="22"/>
          <w:szCs w:val="22"/>
        </w:rPr>
      </w:pPr>
      <w:r w:rsidRPr="00075170">
        <w:rPr>
          <w:rFonts w:ascii="Arial" w:hAnsi="Arial" w:cs="Arial"/>
          <w:bCs/>
          <w:spacing w:val="-3"/>
          <w:sz w:val="22"/>
          <w:szCs w:val="22"/>
        </w:rPr>
        <w:t xml:space="preserve">strengthen </w:t>
      </w:r>
      <w:r w:rsidR="006E0834">
        <w:rPr>
          <w:rFonts w:ascii="Arial" w:hAnsi="Arial" w:cs="Arial"/>
          <w:bCs/>
          <w:spacing w:val="-3"/>
          <w:sz w:val="22"/>
          <w:szCs w:val="22"/>
        </w:rPr>
        <w:t xml:space="preserve">the </w:t>
      </w:r>
      <w:r w:rsidR="006E0834" w:rsidRPr="00DD0A0E">
        <w:rPr>
          <w:rFonts w:ascii="Arial" w:hAnsi="Arial" w:cs="Arial"/>
          <w:bCs/>
          <w:spacing w:val="-3"/>
          <w:sz w:val="22"/>
          <w:szCs w:val="22"/>
        </w:rPr>
        <w:t xml:space="preserve">State Penalties Enforcement </w:t>
      </w:r>
      <w:r w:rsidR="006E0834">
        <w:rPr>
          <w:rFonts w:ascii="Arial" w:hAnsi="Arial" w:cs="Arial"/>
          <w:bCs/>
          <w:spacing w:val="-3"/>
          <w:sz w:val="22"/>
          <w:szCs w:val="22"/>
        </w:rPr>
        <w:t>Register’s (</w:t>
      </w:r>
      <w:r w:rsidRPr="00075170">
        <w:rPr>
          <w:rFonts w:ascii="Arial" w:hAnsi="Arial" w:cs="Arial"/>
          <w:bCs/>
          <w:spacing w:val="-3"/>
          <w:sz w:val="22"/>
          <w:szCs w:val="22"/>
        </w:rPr>
        <w:t>SPER</w:t>
      </w:r>
      <w:r w:rsidR="006E0834">
        <w:rPr>
          <w:rFonts w:ascii="Arial" w:hAnsi="Arial" w:cs="Arial"/>
          <w:bCs/>
          <w:spacing w:val="-3"/>
          <w:sz w:val="22"/>
          <w:szCs w:val="22"/>
        </w:rPr>
        <w:t>)</w:t>
      </w:r>
      <w:r w:rsidRPr="00075170">
        <w:rPr>
          <w:rFonts w:ascii="Arial" w:hAnsi="Arial" w:cs="Arial"/>
          <w:bCs/>
          <w:spacing w:val="-3"/>
          <w:sz w:val="22"/>
          <w:szCs w:val="22"/>
        </w:rPr>
        <w:t xml:space="preserve"> existing powers of seizure and sale;</w:t>
      </w:r>
    </w:p>
    <w:p w:rsidR="00DD0A0E" w:rsidRPr="00075170" w:rsidRDefault="00DD0A0E" w:rsidP="00C2123D">
      <w:pPr>
        <w:numPr>
          <w:ilvl w:val="1"/>
          <w:numId w:val="47"/>
        </w:numPr>
        <w:tabs>
          <w:tab w:val="clear" w:pos="1495"/>
          <w:tab w:val="num" w:pos="851"/>
        </w:tabs>
        <w:ind w:left="850" w:hanging="425"/>
        <w:jc w:val="both"/>
        <w:rPr>
          <w:rFonts w:ascii="Arial" w:hAnsi="Arial" w:cs="Arial"/>
          <w:bCs/>
          <w:spacing w:val="-3"/>
          <w:sz w:val="22"/>
          <w:szCs w:val="22"/>
        </w:rPr>
      </w:pPr>
      <w:r w:rsidRPr="00075170">
        <w:rPr>
          <w:rFonts w:ascii="Arial" w:hAnsi="Arial" w:cs="Arial"/>
          <w:bCs/>
          <w:spacing w:val="-3"/>
          <w:sz w:val="22"/>
          <w:szCs w:val="22"/>
        </w:rPr>
        <w:t>create new powers and processes to wheel clamp the vehicles of debtors who owe more than the prescribed amount ($5,000 or more);</w:t>
      </w:r>
    </w:p>
    <w:p w:rsidR="00DD0A0E" w:rsidRPr="00075170" w:rsidRDefault="00DD0A0E" w:rsidP="00C2123D">
      <w:pPr>
        <w:numPr>
          <w:ilvl w:val="1"/>
          <w:numId w:val="47"/>
        </w:numPr>
        <w:tabs>
          <w:tab w:val="clear" w:pos="1495"/>
          <w:tab w:val="num" w:pos="851"/>
        </w:tabs>
        <w:ind w:left="850" w:hanging="425"/>
        <w:jc w:val="both"/>
        <w:rPr>
          <w:rFonts w:ascii="Arial" w:hAnsi="Arial" w:cs="Arial"/>
          <w:bCs/>
          <w:spacing w:val="-3"/>
          <w:sz w:val="22"/>
          <w:szCs w:val="22"/>
        </w:rPr>
      </w:pPr>
      <w:r w:rsidRPr="00075170">
        <w:rPr>
          <w:rFonts w:ascii="Arial" w:hAnsi="Arial" w:cs="Arial"/>
          <w:bCs/>
          <w:spacing w:val="-3"/>
          <w:sz w:val="22"/>
          <w:szCs w:val="22"/>
        </w:rPr>
        <w:t>expressly enable SPER to use SMS technology to send warning and reminder messages to debtors, without requiring debtor consent; and</w:t>
      </w:r>
    </w:p>
    <w:p w:rsidR="00DD0A0E" w:rsidRPr="00075170" w:rsidRDefault="00DD0A0E" w:rsidP="00C2123D">
      <w:pPr>
        <w:numPr>
          <w:ilvl w:val="1"/>
          <w:numId w:val="47"/>
        </w:numPr>
        <w:tabs>
          <w:tab w:val="clear" w:pos="1495"/>
          <w:tab w:val="num" w:pos="851"/>
        </w:tabs>
        <w:ind w:left="850" w:hanging="425"/>
        <w:jc w:val="both"/>
        <w:rPr>
          <w:rFonts w:ascii="Arial" w:hAnsi="Arial" w:cs="Arial"/>
          <w:bCs/>
          <w:spacing w:val="-3"/>
          <w:sz w:val="22"/>
          <w:szCs w:val="22"/>
        </w:rPr>
      </w:pPr>
      <w:r w:rsidRPr="00075170">
        <w:rPr>
          <w:rFonts w:ascii="Arial" w:hAnsi="Arial" w:cs="Arial"/>
          <w:bCs/>
          <w:spacing w:val="-3"/>
          <w:sz w:val="22"/>
          <w:szCs w:val="22"/>
        </w:rPr>
        <w:t xml:space="preserve">enable and retrospectively validate the referral to, and enforcement by, SPER of orders made under the </w:t>
      </w:r>
      <w:r w:rsidRPr="00E86C96">
        <w:rPr>
          <w:rFonts w:ascii="Arial" w:hAnsi="Arial" w:cs="Arial"/>
          <w:bCs/>
          <w:i/>
          <w:spacing w:val="-3"/>
          <w:sz w:val="22"/>
          <w:szCs w:val="22"/>
        </w:rPr>
        <w:t>Industrial Relations Act 1991</w:t>
      </w:r>
      <w:r w:rsidRPr="00075170">
        <w:rPr>
          <w:rFonts w:ascii="Arial" w:hAnsi="Arial" w:cs="Arial"/>
          <w:bCs/>
          <w:spacing w:val="-3"/>
          <w:sz w:val="22"/>
          <w:szCs w:val="22"/>
        </w:rPr>
        <w:t xml:space="preserve"> for unpaid wages, tool allowance, unpaid superannuation contributions and fees charged illegally by private emp</w:t>
      </w:r>
      <w:r>
        <w:rPr>
          <w:rFonts w:ascii="Arial" w:hAnsi="Arial" w:cs="Arial"/>
          <w:bCs/>
          <w:spacing w:val="-3"/>
          <w:sz w:val="22"/>
          <w:szCs w:val="22"/>
        </w:rPr>
        <w:t>loyment agents.</w:t>
      </w:r>
    </w:p>
    <w:p w:rsidR="00BC4401" w:rsidRPr="00BC4401" w:rsidRDefault="00075170" w:rsidP="00BC4401">
      <w:pPr>
        <w:numPr>
          <w:ilvl w:val="0"/>
          <w:numId w:val="47"/>
        </w:numPr>
        <w:tabs>
          <w:tab w:val="clear" w:pos="1080"/>
          <w:tab w:val="left" w:pos="426"/>
        </w:tabs>
        <w:spacing w:before="120"/>
        <w:ind w:left="425" w:hanging="425"/>
        <w:jc w:val="both"/>
        <w:rPr>
          <w:rFonts w:ascii="Arial" w:hAnsi="Arial" w:cs="Arial"/>
          <w:bCs/>
          <w:spacing w:val="-3"/>
          <w:sz w:val="22"/>
          <w:szCs w:val="22"/>
        </w:rPr>
      </w:pPr>
      <w:r w:rsidRPr="0030530F">
        <w:rPr>
          <w:rFonts w:ascii="Arial" w:hAnsi="Arial" w:cs="Arial"/>
          <w:bCs/>
          <w:spacing w:val="-3"/>
          <w:sz w:val="22"/>
          <w:szCs w:val="22"/>
          <w:u w:val="single"/>
        </w:rPr>
        <w:t>Criminal information national exchange</w:t>
      </w:r>
      <w:r w:rsidRPr="00075170">
        <w:rPr>
          <w:rFonts w:ascii="Arial" w:hAnsi="Arial" w:cs="Arial"/>
          <w:bCs/>
          <w:spacing w:val="-3"/>
          <w:sz w:val="22"/>
          <w:szCs w:val="22"/>
        </w:rPr>
        <w:t xml:space="preserve">: </w:t>
      </w:r>
      <w:r w:rsidR="00DD0A0E">
        <w:rPr>
          <w:rFonts w:ascii="Arial" w:hAnsi="Arial" w:cs="Arial"/>
          <w:bCs/>
          <w:spacing w:val="-3"/>
          <w:sz w:val="22"/>
          <w:szCs w:val="22"/>
        </w:rPr>
        <w:t xml:space="preserve">The Bill </w:t>
      </w:r>
      <w:r w:rsidR="00DD0A0E" w:rsidRPr="00075170">
        <w:rPr>
          <w:rFonts w:ascii="Arial" w:hAnsi="Arial" w:cs="Arial"/>
          <w:bCs/>
          <w:spacing w:val="-3"/>
          <w:sz w:val="22"/>
          <w:szCs w:val="22"/>
        </w:rPr>
        <w:t>amend</w:t>
      </w:r>
      <w:r w:rsidR="00DD0A0E">
        <w:rPr>
          <w:rFonts w:ascii="Arial" w:hAnsi="Arial" w:cs="Arial"/>
          <w:bCs/>
          <w:spacing w:val="-3"/>
          <w:sz w:val="22"/>
          <w:szCs w:val="22"/>
        </w:rPr>
        <w:t>s</w:t>
      </w:r>
      <w:r w:rsidR="00DD0A0E" w:rsidRPr="00075170">
        <w:rPr>
          <w:rFonts w:ascii="Arial" w:hAnsi="Arial" w:cs="Arial"/>
          <w:bCs/>
          <w:spacing w:val="-3"/>
          <w:sz w:val="22"/>
          <w:szCs w:val="22"/>
        </w:rPr>
        <w:t xml:space="preserve"> the </w:t>
      </w:r>
      <w:r w:rsidR="00DD0A0E" w:rsidRPr="00DD0A0E">
        <w:rPr>
          <w:rFonts w:ascii="Arial" w:hAnsi="Arial" w:cs="Arial"/>
          <w:bCs/>
          <w:i/>
          <w:spacing w:val="-3"/>
          <w:sz w:val="22"/>
          <w:szCs w:val="22"/>
        </w:rPr>
        <w:t>Police Service Administration Act 1990</w:t>
      </w:r>
      <w:r w:rsidR="00DD0A0E" w:rsidRPr="00075170">
        <w:rPr>
          <w:rFonts w:ascii="Arial" w:hAnsi="Arial" w:cs="Arial"/>
          <w:bCs/>
          <w:spacing w:val="-3"/>
          <w:sz w:val="22"/>
          <w:szCs w:val="22"/>
        </w:rPr>
        <w:t xml:space="preserve"> and </w:t>
      </w:r>
      <w:r w:rsidR="00DD0A0E" w:rsidRPr="00DD0A0E">
        <w:rPr>
          <w:rFonts w:ascii="Arial" w:hAnsi="Arial" w:cs="Arial"/>
          <w:bCs/>
          <w:i/>
          <w:spacing w:val="-3"/>
          <w:sz w:val="22"/>
          <w:szCs w:val="22"/>
        </w:rPr>
        <w:t>Education (</w:t>
      </w:r>
      <w:smartTag w:uri="urn:schemas-microsoft-com:office:smarttags" w:element="PlaceName">
        <w:r w:rsidR="00DD0A0E" w:rsidRPr="00DD0A0E">
          <w:rPr>
            <w:rFonts w:ascii="Arial" w:hAnsi="Arial" w:cs="Arial"/>
            <w:bCs/>
            <w:i/>
            <w:spacing w:val="-3"/>
            <w:sz w:val="22"/>
            <w:szCs w:val="22"/>
          </w:rPr>
          <w:t>Queensland</w:t>
        </w:r>
      </w:smartTag>
      <w:r w:rsidR="00DD0A0E" w:rsidRPr="00DD0A0E">
        <w:rPr>
          <w:rFonts w:ascii="Arial" w:hAnsi="Arial" w:cs="Arial"/>
          <w:bCs/>
          <w:i/>
          <w:spacing w:val="-3"/>
          <w:sz w:val="22"/>
          <w:szCs w:val="22"/>
        </w:rPr>
        <w:t xml:space="preserve"> </w:t>
      </w:r>
      <w:smartTag w:uri="urn:schemas-microsoft-com:office:smarttags" w:element="PlaceType">
        <w:r w:rsidR="00DD0A0E" w:rsidRPr="00DD0A0E">
          <w:rPr>
            <w:rFonts w:ascii="Arial" w:hAnsi="Arial" w:cs="Arial"/>
            <w:bCs/>
            <w:i/>
            <w:spacing w:val="-3"/>
            <w:sz w:val="22"/>
            <w:szCs w:val="22"/>
          </w:rPr>
          <w:t>College</w:t>
        </w:r>
      </w:smartTag>
      <w:r w:rsidR="00DD0A0E" w:rsidRPr="00DD0A0E">
        <w:rPr>
          <w:rFonts w:ascii="Arial" w:hAnsi="Arial" w:cs="Arial"/>
          <w:bCs/>
          <w:i/>
          <w:spacing w:val="-3"/>
          <w:sz w:val="22"/>
          <w:szCs w:val="22"/>
        </w:rPr>
        <w:t xml:space="preserve"> of Teachers) Act 2005</w:t>
      </w:r>
      <w:r w:rsidR="00DD0A0E" w:rsidRPr="00075170">
        <w:rPr>
          <w:rFonts w:ascii="Arial" w:hAnsi="Arial" w:cs="Arial"/>
          <w:bCs/>
          <w:spacing w:val="-3"/>
          <w:sz w:val="22"/>
          <w:szCs w:val="22"/>
        </w:rPr>
        <w:t xml:space="preserve"> to enable </w:t>
      </w:r>
      <w:smartTag w:uri="urn:schemas-microsoft-com:office:smarttags" w:element="place">
        <w:smartTag w:uri="urn:schemas-microsoft-com:office:smarttags" w:element="State">
          <w:r w:rsidR="00DD0A0E" w:rsidRPr="00075170">
            <w:rPr>
              <w:rFonts w:ascii="Arial" w:hAnsi="Arial" w:cs="Arial"/>
              <w:bCs/>
              <w:spacing w:val="-3"/>
              <w:sz w:val="22"/>
              <w:szCs w:val="22"/>
            </w:rPr>
            <w:t>Queensland</w:t>
          </w:r>
        </w:smartTag>
      </w:smartTag>
      <w:r w:rsidR="00DD0A0E" w:rsidRPr="00075170">
        <w:rPr>
          <w:rFonts w:ascii="Arial" w:hAnsi="Arial" w:cs="Arial"/>
          <w:bCs/>
          <w:spacing w:val="-3"/>
          <w:sz w:val="22"/>
          <w:szCs w:val="22"/>
        </w:rPr>
        <w:t>’s participation in the COAG-endorsed national exchange of criminal history information for people working with chi</w:t>
      </w:r>
      <w:r w:rsidR="00BC4401">
        <w:rPr>
          <w:rFonts w:ascii="Arial" w:hAnsi="Arial" w:cs="Arial"/>
          <w:bCs/>
          <w:spacing w:val="-3"/>
          <w:sz w:val="22"/>
          <w:szCs w:val="22"/>
        </w:rPr>
        <w:t>ldren.</w:t>
      </w:r>
      <w:r w:rsidR="00BC4401" w:rsidRPr="00BC4401">
        <w:rPr>
          <w:rFonts w:ascii="Arial" w:hAnsi="Arial" w:cs="Arial"/>
          <w:bCs/>
          <w:spacing w:val="-3"/>
          <w:sz w:val="22"/>
          <w:szCs w:val="22"/>
          <w:u w:val="single"/>
        </w:rPr>
        <w:t xml:space="preserve"> </w:t>
      </w:r>
    </w:p>
    <w:p w:rsidR="00BC4401" w:rsidRPr="00075170" w:rsidRDefault="00BC4401" w:rsidP="00BC4401">
      <w:pPr>
        <w:numPr>
          <w:ilvl w:val="0"/>
          <w:numId w:val="47"/>
        </w:numPr>
        <w:tabs>
          <w:tab w:val="clear" w:pos="1080"/>
          <w:tab w:val="left" w:pos="426"/>
        </w:tabs>
        <w:spacing w:before="120"/>
        <w:ind w:left="425" w:hanging="425"/>
        <w:jc w:val="both"/>
        <w:rPr>
          <w:rFonts w:ascii="Arial" w:hAnsi="Arial" w:cs="Arial"/>
          <w:bCs/>
          <w:spacing w:val="-3"/>
          <w:sz w:val="22"/>
          <w:szCs w:val="22"/>
        </w:rPr>
      </w:pPr>
      <w:r w:rsidRPr="0030530F">
        <w:rPr>
          <w:rFonts w:ascii="Arial" w:hAnsi="Arial" w:cs="Arial"/>
          <w:bCs/>
          <w:spacing w:val="-3"/>
          <w:sz w:val="22"/>
          <w:szCs w:val="22"/>
          <w:u w:val="single"/>
        </w:rPr>
        <w:t>Amendments to the classifications Acts</w:t>
      </w:r>
      <w:r w:rsidRPr="00075170">
        <w:rPr>
          <w:rFonts w:ascii="Arial" w:hAnsi="Arial" w:cs="Arial"/>
          <w:bCs/>
          <w:spacing w:val="-3"/>
          <w:sz w:val="22"/>
          <w:szCs w:val="22"/>
        </w:rPr>
        <w:t xml:space="preserve">: The Attorney-General </w:t>
      </w:r>
      <w:r w:rsidR="006E0834">
        <w:rPr>
          <w:rFonts w:ascii="Arial" w:hAnsi="Arial" w:cs="Arial"/>
          <w:bCs/>
          <w:spacing w:val="-3"/>
          <w:sz w:val="22"/>
          <w:szCs w:val="22"/>
        </w:rPr>
        <w:t xml:space="preserve">and Minister for Industrial Relations </w:t>
      </w:r>
      <w:r w:rsidRPr="00075170">
        <w:rPr>
          <w:rFonts w:ascii="Arial" w:hAnsi="Arial" w:cs="Arial"/>
          <w:bCs/>
          <w:spacing w:val="-3"/>
          <w:sz w:val="22"/>
          <w:szCs w:val="22"/>
        </w:rPr>
        <w:t xml:space="preserve">is responsible for administering the </w:t>
      </w:r>
      <w:r w:rsidRPr="00DD0A0E">
        <w:rPr>
          <w:rFonts w:ascii="Arial" w:hAnsi="Arial" w:cs="Arial"/>
          <w:bCs/>
          <w:i/>
          <w:spacing w:val="-3"/>
          <w:sz w:val="22"/>
          <w:szCs w:val="22"/>
        </w:rPr>
        <w:t>Classification of Films Act 1991</w:t>
      </w:r>
      <w:r w:rsidRPr="00075170">
        <w:rPr>
          <w:rFonts w:ascii="Arial" w:hAnsi="Arial" w:cs="Arial"/>
          <w:bCs/>
          <w:spacing w:val="-3"/>
          <w:sz w:val="22"/>
          <w:szCs w:val="22"/>
        </w:rPr>
        <w:t xml:space="preserve">, the </w:t>
      </w:r>
      <w:r w:rsidRPr="00DD0A0E">
        <w:rPr>
          <w:rFonts w:ascii="Arial" w:hAnsi="Arial" w:cs="Arial"/>
          <w:bCs/>
          <w:i/>
          <w:spacing w:val="-3"/>
          <w:sz w:val="22"/>
          <w:szCs w:val="22"/>
        </w:rPr>
        <w:t xml:space="preserve">Classification of Publications Act 1991 </w:t>
      </w:r>
      <w:r w:rsidRPr="00075170">
        <w:rPr>
          <w:rFonts w:ascii="Arial" w:hAnsi="Arial" w:cs="Arial"/>
          <w:bCs/>
          <w:spacing w:val="-3"/>
          <w:sz w:val="22"/>
          <w:szCs w:val="22"/>
        </w:rPr>
        <w:t xml:space="preserve">and the </w:t>
      </w:r>
      <w:r w:rsidRPr="00132D3F">
        <w:rPr>
          <w:rFonts w:ascii="Arial" w:hAnsi="Arial" w:cs="Arial"/>
          <w:bCs/>
          <w:i/>
          <w:spacing w:val="-3"/>
          <w:sz w:val="22"/>
          <w:szCs w:val="22"/>
        </w:rPr>
        <w:t>Classification of Computer Games and Images Act 1995</w:t>
      </w:r>
      <w:r>
        <w:rPr>
          <w:rFonts w:ascii="Arial" w:hAnsi="Arial" w:cs="Arial"/>
          <w:bCs/>
          <w:spacing w:val="-3"/>
          <w:sz w:val="22"/>
          <w:szCs w:val="22"/>
        </w:rPr>
        <w:t xml:space="preserve"> (classification Acts</w:t>
      </w:r>
      <w:r w:rsidRPr="00075170">
        <w:rPr>
          <w:rFonts w:ascii="Arial" w:hAnsi="Arial" w:cs="Arial"/>
          <w:bCs/>
          <w:spacing w:val="-3"/>
          <w:sz w:val="22"/>
          <w:szCs w:val="22"/>
        </w:rPr>
        <w:t xml:space="preserve">).  </w:t>
      </w:r>
      <w:r w:rsidR="0003065F">
        <w:rPr>
          <w:rFonts w:ascii="Arial" w:hAnsi="Arial" w:cs="Arial"/>
          <w:bCs/>
          <w:spacing w:val="-3"/>
          <w:sz w:val="22"/>
          <w:szCs w:val="22"/>
        </w:rPr>
        <w:t>The Bill amends these Acts</w:t>
      </w:r>
      <w:r w:rsidRPr="00075170">
        <w:rPr>
          <w:rFonts w:ascii="Arial" w:hAnsi="Arial" w:cs="Arial"/>
          <w:bCs/>
          <w:spacing w:val="-3"/>
          <w:sz w:val="22"/>
          <w:szCs w:val="22"/>
        </w:rPr>
        <w:t xml:space="preserve"> to facilitate the continued use of Office of Fair Trading inspectors to enforce these Acts, following recent machinery of government changes. </w:t>
      </w:r>
    </w:p>
    <w:p w:rsidR="00DD0A0E" w:rsidRPr="00075170" w:rsidRDefault="00075170" w:rsidP="00DD0A0E">
      <w:pPr>
        <w:numPr>
          <w:ilvl w:val="0"/>
          <w:numId w:val="47"/>
        </w:numPr>
        <w:tabs>
          <w:tab w:val="clear" w:pos="1080"/>
          <w:tab w:val="left" w:pos="426"/>
        </w:tabs>
        <w:spacing w:before="120"/>
        <w:ind w:left="425" w:hanging="425"/>
        <w:jc w:val="both"/>
        <w:rPr>
          <w:rFonts w:ascii="Arial" w:hAnsi="Arial" w:cs="Arial"/>
          <w:bCs/>
          <w:spacing w:val="-3"/>
          <w:sz w:val="22"/>
          <w:szCs w:val="22"/>
        </w:rPr>
      </w:pPr>
      <w:r w:rsidRPr="00C2123D">
        <w:rPr>
          <w:rFonts w:ascii="Arial" w:hAnsi="Arial" w:cs="Arial"/>
          <w:bCs/>
          <w:spacing w:val="-3"/>
          <w:sz w:val="22"/>
          <w:szCs w:val="22"/>
          <w:u w:val="single"/>
        </w:rPr>
        <w:t>Judicial</w:t>
      </w:r>
      <w:r w:rsidRPr="0030530F">
        <w:rPr>
          <w:rFonts w:ascii="Arial" w:hAnsi="Arial" w:cs="Arial"/>
          <w:bCs/>
          <w:spacing w:val="-3"/>
          <w:sz w:val="22"/>
          <w:szCs w:val="22"/>
          <w:u w:val="single"/>
        </w:rPr>
        <w:t xml:space="preserve"> registrars</w:t>
      </w:r>
      <w:r w:rsidRPr="00075170">
        <w:rPr>
          <w:rFonts w:ascii="Arial" w:hAnsi="Arial" w:cs="Arial"/>
          <w:bCs/>
          <w:spacing w:val="-3"/>
          <w:sz w:val="22"/>
          <w:szCs w:val="22"/>
        </w:rPr>
        <w:t xml:space="preserve">: </w:t>
      </w:r>
      <w:r w:rsidR="00DD0A0E">
        <w:rPr>
          <w:rFonts w:ascii="Arial" w:hAnsi="Arial" w:cs="Arial"/>
          <w:bCs/>
          <w:spacing w:val="-3"/>
          <w:sz w:val="22"/>
          <w:szCs w:val="22"/>
        </w:rPr>
        <w:t xml:space="preserve">The Bill </w:t>
      </w:r>
      <w:r w:rsidR="00DD0A0E" w:rsidRPr="00075170">
        <w:rPr>
          <w:rFonts w:ascii="Arial" w:hAnsi="Arial" w:cs="Arial"/>
          <w:bCs/>
          <w:spacing w:val="-3"/>
          <w:sz w:val="22"/>
          <w:szCs w:val="22"/>
        </w:rPr>
        <w:t>enable</w:t>
      </w:r>
      <w:r w:rsidR="0003065F">
        <w:rPr>
          <w:rFonts w:ascii="Arial" w:hAnsi="Arial" w:cs="Arial"/>
          <w:bCs/>
          <w:spacing w:val="-3"/>
          <w:sz w:val="22"/>
          <w:szCs w:val="22"/>
        </w:rPr>
        <w:t>s</w:t>
      </w:r>
      <w:r w:rsidR="00DD0A0E" w:rsidRPr="00075170">
        <w:rPr>
          <w:rFonts w:ascii="Arial" w:hAnsi="Arial" w:cs="Arial"/>
          <w:bCs/>
          <w:spacing w:val="-3"/>
          <w:sz w:val="22"/>
          <w:szCs w:val="22"/>
        </w:rPr>
        <w:t xml:space="preserve"> judicial registrars under the </w:t>
      </w:r>
      <w:smartTag w:uri="urn:schemas-microsoft-com:office:smarttags" w:element="Street">
        <w:smartTag w:uri="urn:schemas-microsoft-com:office:smarttags" w:element="address">
          <w:r w:rsidR="00DD0A0E" w:rsidRPr="00075170">
            <w:rPr>
              <w:rFonts w:ascii="Arial" w:hAnsi="Arial" w:cs="Arial"/>
              <w:bCs/>
              <w:spacing w:val="-3"/>
              <w:sz w:val="22"/>
              <w:szCs w:val="22"/>
            </w:rPr>
            <w:t>Magistrates Court</w:t>
          </w:r>
        </w:smartTag>
      </w:smartTag>
      <w:r w:rsidR="00DD0A0E" w:rsidRPr="00075170">
        <w:rPr>
          <w:rFonts w:ascii="Arial" w:hAnsi="Arial" w:cs="Arial"/>
          <w:bCs/>
          <w:spacing w:val="-3"/>
          <w:sz w:val="22"/>
          <w:szCs w:val="22"/>
        </w:rPr>
        <w:t xml:space="preserve"> pilot to:</w:t>
      </w:r>
    </w:p>
    <w:p w:rsidR="00DD0A0E" w:rsidRPr="00075170" w:rsidRDefault="00DD0A0E" w:rsidP="00DD0A0E">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 xml:space="preserve">continue to hear and determine small claims and minor debt claims after these claims become part of the minor civil disputes jurisdiction of </w:t>
      </w:r>
      <w:r w:rsidR="000E5F36">
        <w:rPr>
          <w:rFonts w:ascii="Arial" w:hAnsi="Arial" w:cs="Arial"/>
          <w:bCs/>
          <w:spacing w:val="-3"/>
          <w:sz w:val="22"/>
          <w:szCs w:val="22"/>
        </w:rPr>
        <w:t xml:space="preserve">the Queensland </w:t>
      </w:r>
      <w:r w:rsidR="000E5F36" w:rsidRPr="00075170">
        <w:rPr>
          <w:rFonts w:ascii="Arial" w:hAnsi="Arial" w:cs="Arial"/>
          <w:bCs/>
          <w:spacing w:val="-3"/>
          <w:sz w:val="22"/>
          <w:szCs w:val="22"/>
        </w:rPr>
        <w:t>C</w:t>
      </w:r>
      <w:r w:rsidR="000E5F36">
        <w:rPr>
          <w:rFonts w:ascii="Arial" w:hAnsi="Arial" w:cs="Arial"/>
          <w:bCs/>
          <w:spacing w:val="-3"/>
          <w:sz w:val="22"/>
          <w:szCs w:val="22"/>
        </w:rPr>
        <w:t xml:space="preserve">ivil and </w:t>
      </w:r>
      <w:r w:rsidR="000E5F36" w:rsidRPr="00075170">
        <w:rPr>
          <w:rFonts w:ascii="Arial" w:hAnsi="Arial" w:cs="Arial"/>
          <w:bCs/>
          <w:spacing w:val="-3"/>
          <w:sz w:val="22"/>
          <w:szCs w:val="22"/>
        </w:rPr>
        <w:t>A</w:t>
      </w:r>
      <w:r w:rsidR="000E5F36">
        <w:rPr>
          <w:rFonts w:ascii="Arial" w:hAnsi="Arial" w:cs="Arial"/>
          <w:bCs/>
          <w:spacing w:val="-3"/>
          <w:sz w:val="22"/>
          <w:szCs w:val="22"/>
        </w:rPr>
        <w:t xml:space="preserve">dministrative </w:t>
      </w:r>
      <w:r w:rsidR="000E5F36" w:rsidRPr="00075170">
        <w:rPr>
          <w:rFonts w:ascii="Arial" w:hAnsi="Arial" w:cs="Arial"/>
          <w:bCs/>
          <w:spacing w:val="-3"/>
          <w:sz w:val="22"/>
          <w:szCs w:val="22"/>
        </w:rPr>
        <w:t>T</w:t>
      </w:r>
      <w:r w:rsidR="000E5F36">
        <w:rPr>
          <w:rFonts w:ascii="Arial" w:hAnsi="Arial" w:cs="Arial"/>
          <w:bCs/>
          <w:spacing w:val="-3"/>
          <w:sz w:val="22"/>
          <w:szCs w:val="22"/>
        </w:rPr>
        <w:t>ribunal (QCAT)</w:t>
      </w:r>
      <w:r w:rsidR="000E5F36" w:rsidRPr="00075170">
        <w:rPr>
          <w:rFonts w:ascii="Arial" w:hAnsi="Arial" w:cs="Arial"/>
          <w:bCs/>
          <w:spacing w:val="-3"/>
          <w:sz w:val="22"/>
          <w:szCs w:val="22"/>
        </w:rPr>
        <w:t xml:space="preserve"> </w:t>
      </w:r>
      <w:r w:rsidRPr="00075170">
        <w:rPr>
          <w:rFonts w:ascii="Arial" w:hAnsi="Arial" w:cs="Arial"/>
          <w:bCs/>
          <w:spacing w:val="-3"/>
          <w:sz w:val="22"/>
          <w:szCs w:val="22"/>
        </w:rPr>
        <w:t xml:space="preserve">from 1 December 2009; and </w:t>
      </w:r>
    </w:p>
    <w:p w:rsidR="00DD0A0E" w:rsidRPr="00075170" w:rsidRDefault="00DD0A0E" w:rsidP="00DD0A0E">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deal with more uncontested criminal matters by expand</w:t>
      </w:r>
      <w:r w:rsidR="000E5F36">
        <w:rPr>
          <w:rFonts w:ascii="Arial" w:hAnsi="Arial" w:cs="Arial"/>
          <w:bCs/>
          <w:spacing w:val="-3"/>
          <w:sz w:val="22"/>
          <w:szCs w:val="22"/>
        </w:rPr>
        <w:t>ing their bail powers.</w:t>
      </w:r>
    </w:p>
    <w:p w:rsidR="009F4DB3" w:rsidRDefault="009F4DB3" w:rsidP="009F4DB3">
      <w:pPr>
        <w:numPr>
          <w:ilvl w:val="0"/>
          <w:numId w:val="47"/>
        </w:numPr>
        <w:tabs>
          <w:tab w:val="clear" w:pos="1080"/>
          <w:tab w:val="left" w:pos="426"/>
        </w:tabs>
        <w:spacing w:before="120"/>
        <w:ind w:left="425" w:hanging="425"/>
        <w:jc w:val="both"/>
        <w:rPr>
          <w:rFonts w:ascii="Arial" w:hAnsi="Arial" w:cs="Arial"/>
          <w:bCs/>
          <w:spacing w:val="-3"/>
          <w:sz w:val="22"/>
          <w:szCs w:val="22"/>
        </w:rPr>
      </w:pPr>
      <w:r>
        <w:rPr>
          <w:rFonts w:ascii="Arial" w:hAnsi="Arial" w:cs="Arial"/>
          <w:bCs/>
          <w:spacing w:val="-3"/>
          <w:sz w:val="22"/>
          <w:szCs w:val="22"/>
        </w:rPr>
        <w:t>The Bill also:</w:t>
      </w:r>
    </w:p>
    <w:p w:rsidR="009F4DB3" w:rsidRDefault="009F4DB3" w:rsidP="009F4DB3">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confer</w:t>
      </w:r>
      <w:r w:rsidR="0003065F">
        <w:rPr>
          <w:rFonts w:ascii="Arial" w:hAnsi="Arial" w:cs="Arial"/>
          <w:bCs/>
          <w:spacing w:val="-3"/>
          <w:sz w:val="22"/>
          <w:szCs w:val="22"/>
        </w:rPr>
        <w:t>s</w:t>
      </w:r>
      <w:r w:rsidRPr="00075170">
        <w:rPr>
          <w:rFonts w:ascii="Arial" w:hAnsi="Arial" w:cs="Arial"/>
          <w:bCs/>
          <w:spacing w:val="-3"/>
          <w:sz w:val="22"/>
          <w:szCs w:val="22"/>
        </w:rPr>
        <w:t xml:space="preserve"> new jurisdiction on </w:t>
      </w:r>
      <w:r>
        <w:rPr>
          <w:rFonts w:ascii="Arial" w:hAnsi="Arial" w:cs="Arial"/>
          <w:bCs/>
          <w:spacing w:val="-3"/>
          <w:sz w:val="22"/>
          <w:szCs w:val="22"/>
        </w:rPr>
        <w:t>QCAT</w:t>
      </w:r>
      <w:r w:rsidRPr="00075170">
        <w:rPr>
          <w:rFonts w:ascii="Arial" w:hAnsi="Arial" w:cs="Arial"/>
          <w:bCs/>
          <w:spacing w:val="-3"/>
          <w:sz w:val="22"/>
          <w:szCs w:val="22"/>
        </w:rPr>
        <w:t xml:space="preserve"> that has arisen since the QCAT Acts were passed, or adjust jurisdiction t</w:t>
      </w:r>
      <w:r>
        <w:rPr>
          <w:rFonts w:ascii="Arial" w:hAnsi="Arial" w:cs="Arial"/>
          <w:bCs/>
          <w:spacing w:val="-3"/>
          <w:sz w:val="22"/>
          <w:szCs w:val="22"/>
        </w:rPr>
        <w:t>hat was conferred by those Acts;</w:t>
      </w:r>
    </w:p>
    <w:p w:rsidR="009F4DB3" w:rsidRDefault="009F4DB3" w:rsidP="009F4DB3">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correct</w:t>
      </w:r>
      <w:r w:rsidR="0003065F">
        <w:rPr>
          <w:rFonts w:ascii="Arial" w:hAnsi="Arial" w:cs="Arial"/>
          <w:bCs/>
          <w:spacing w:val="-3"/>
          <w:sz w:val="22"/>
          <w:szCs w:val="22"/>
        </w:rPr>
        <w:t>s</w:t>
      </w:r>
      <w:r w:rsidRPr="00075170">
        <w:rPr>
          <w:rFonts w:ascii="Arial" w:hAnsi="Arial" w:cs="Arial"/>
          <w:bCs/>
          <w:spacing w:val="-3"/>
          <w:sz w:val="22"/>
          <w:szCs w:val="22"/>
        </w:rPr>
        <w:t xml:space="preserve"> small or technical errors and the clarification of provisions</w:t>
      </w:r>
      <w:r>
        <w:rPr>
          <w:rFonts w:ascii="Arial" w:hAnsi="Arial" w:cs="Arial"/>
          <w:bCs/>
          <w:spacing w:val="-3"/>
          <w:sz w:val="22"/>
          <w:szCs w:val="22"/>
        </w:rPr>
        <w:t xml:space="preserve"> </w:t>
      </w:r>
      <w:r w:rsidR="000E5F36">
        <w:rPr>
          <w:rFonts w:ascii="Arial" w:hAnsi="Arial" w:cs="Arial"/>
          <w:bCs/>
          <w:spacing w:val="-3"/>
          <w:sz w:val="22"/>
          <w:szCs w:val="22"/>
        </w:rPr>
        <w:t xml:space="preserve">contained in the two QCAT Acts; </w:t>
      </w:r>
    </w:p>
    <w:p w:rsidR="009F4DB3" w:rsidRPr="00075170" w:rsidRDefault="009F4DB3" w:rsidP="009F4DB3">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clarif</w:t>
      </w:r>
      <w:r w:rsidR="0003065F">
        <w:rPr>
          <w:rFonts w:ascii="Arial" w:hAnsi="Arial" w:cs="Arial"/>
          <w:bCs/>
          <w:spacing w:val="-3"/>
          <w:sz w:val="22"/>
          <w:szCs w:val="22"/>
        </w:rPr>
        <w:t>ies</w:t>
      </w:r>
      <w:r w:rsidRPr="00075170">
        <w:rPr>
          <w:rFonts w:ascii="Arial" w:hAnsi="Arial" w:cs="Arial"/>
          <w:bCs/>
          <w:spacing w:val="-3"/>
          <w:sz w:val="22"/>
          <w:szCs w:val="22"/>
        </w:rPr>
        <w:t xml:space="preserve"> technical matters in relation to the </w:t>
      </w:r>
      <w:r w:rsidRPr="009F4DB3">
        <w:rPr>
          <w:rFonts w:ascii="Arial" w:hAnsi="Arial" w:cs="Arial"/>
          <w:bCs/>
          <w:i/>
          <w:spacing w:val="-3"/>
          <w:sz w:val="22"/>
          <w:szCs w:val="22"/>
        </w:rPr>
        <w:t xml:space="preserve">Right to Information Act 2009 </w:t>
      </w:r>
      <w:r w:rsidRPr="009F4DB3">
        <w:rPr>
          <w:rFonts w:ascii="Arial" w:hAnsi="Arial" w:cs="Arial"/>
          <w:bCs/>
          <w:spacing w:val="-3"/>
          <w:sz w:val="22"/>
          <w:szCs w:val="22"/>
        </w:rPr>
        <w:t>and</w:t>
      </w:r>
      <w:r w:rsidRPr="00075170">
        <w:rPr>
          <w:rFonts w:ascii="Arial" w:hAnsi="Arial" w:cs="Arial"/>
          <w:bCs/>
          <w:spacing w:val="-3"/>
          <w:sz w:val="22"/>
          <w:szCs w:val="22"/>
        </w:rPr>
        <w:t xml:space="preserve"> the </w:t>
      </w:r>
      <w:r w:rsidRPr="009F4DB3">
        <w:rPr>
          <w:rFonts w:ascii="Arial" w:hAnsi="Arial" w:cs="Arial"/>
          <w:bCs/>
          <w:i/>
          <w:spacing w:val="-3"/>
          <w:sz w:val="22"/>
          <w:szCs w:val="22"/>
        </w:rPr>
        <w:t>Information Privacy Act 2009</w:t>
      </w:r>
      <w:r w:rsidRPr="00075170">
        <w:rPr>
          <w:rFonts w:ascii="Arial" w:hAnsi="Arial" w:cs="Arial"/>
          <w:bCs/>
          <w:spacing w:val="-3"/>
          <w:sz w:val="22"/>
          <w:szCs w:val="22"/>
        </w:rPr>
        <w:t xml:space="preserve"> by clearly setting out delegation powers for internal reviews of decisions, confirming that certain decisions are reviewable and ensuring that the Information Commissioner is not prevented from giving certain documents to parties to an external review so that natural justice is accorded to all parties; and</w:t>
      </w:r>
    </w:p>
    <w:p w:rsidR="00DD0A0E" w:rsidRPr="00075170" w:rsidRDefault="009F4DB3" w:rsidP="009F4DB3">
      <w:pPr>
        <w:numPr>
          <w:ilvl w:val="1"/>
          <w:numId w:val="47"/>
        </w:numPr>
        <w:tabs>
          <w:tab w:val="clear" w:pos="1495"/>
          <w:tab w:val="num" w:pos="851"/>
        </w:tabs>
        <w:spacing w:before="60"/>
        <w:ind w:left="850" w:hanging="425"/>
        <w:jc w:val="both"/>
        <w:rPr>
          <w:rFonts w:ascii="Arial" w:hAnsi="Arial" w:cs="Arial"/>
          <w:bCs/>
          <w:spacing w:val="-3"/>
          <w:sz w:val="22"/>
          <w:szCs w:val="22"/>
        </w:rPr>
      </w:pPr>
      <w:r w:rsidRPr="00075170">
        <w:rPr>
          <w:rFonts w:ascii="Arial" w:hAnsi="Arial" w:cs="Arial"/>
          <w:bCs/>
          <w:spacing w:val="-3"/>
          <w:sz w:val="22"/>
          <w:szCs w:val="22"/>
        </w:rPr>
        <w:t>extend</w:t>
      </w:r>
      <w:r w:rsidR="0003065F">
        <w:rPr>
          <w:rFonts w:ascii="Arial" w:hAnsi="Arial" w:cs="Arial"/>
          <w:bCs/>
          <w:spacing w:val="-3"/>
          <w:sz w:val="22"/>
          <w:szCs w:val="22"/>
        </w:rPr>
        <w:t>s</w:t>
      </w:r>
      <w:r w:rsidRPr="00075170">
        <w:rPr>
          <w:rFonts w:ascii="Arial" w:hAnsi="Arial" w:cs="Arial"/>
          <w:bCs/>
          <w:spacing w:val="-3"/>
          <w:sz w:val="22"/>
          <w:szCs w:val="22"/>
        </w:rPr>
        <w:t xml:space="preserve"> the transitional period for the use of restrictive practices for a further </w:t>
      </w:r>
      <w:r>
        <w:rPr>
          <w:rFonts w:ascii="Arial" w:hAnsi="Arial" w:cs="Arial"/>
          <w:bCs/>
          <w:spacing w:val="-3"/>
          <w:sz w:val="22"/>
          <w:szCs w:val="22"/>
        </w:rPr>
        <w:t>nine</w:t>
      </w:r>
      <w:r w:rsidRPr="00075170">
        <w:rPr>
          <w:rFonts w:ascii="Arial" w:hAnsi="Arial" w:cs="Arial"/>
          <w:bCs/>
          <w:spacing w:val="-3"/>
          <w:sz w:val="22"/>
          <w:szCs w:val="22"/>
        </w:rPr>
        <w:t xml:space="preserve"> months.</w:t>
      </w:r>
    </w:p>
    <w:p w:rsidR="00075170" w:rsidRPr="009F4DB3" w:rsidRDefault="00075170" w:rsidP="00DD0A0E">
      <w:pPr>
        <w:numPr>
          <w:ilvl w:val="0"/>
          <w:numId w:val="47"/>
        </w:numPr>
        <w:tabs>
          <w:tab w:val="clear" w:pos="1080"/>
          <w:tab w:val="left" w:pos="426"/>
        </w:tabs>
        <w:spacing w:before="120"/>
        <w:ind w:left="425" w:hanging="425"/>
        <w:jc w:val="both"/>
        <w:rPr>
          <w:rFonts w:ascii="Arial" w:hAnsi="Arial" w:cs="Arial"/>
          <w:bCs/>
          <w:spacing w:val="-3"/>
          <w:sz w:val="22"/>
          <w:szCs w:val="22"/>
        </w:rPr>
      </w:pPr>
      <w:r w:rsidRPr="009F4DB3">
        <w:rPr>
          <w:rFonts w:ascii="Arial" w:hAnsi="Arial" w:cs="Arial"/>
          <w:bCs/>
          <w:spacing w:val="-3"/>
          <w:sz w:val="22"/>
          <w:szCs w:val="22"/>
          <w:u w:val="single"/>
        </w:rPr>
        <w:t>Cabinet approve</w:t>
      </w:r>
      <w:r w:rsidR="009F4DB3" w:rsidRPr="009F4DB3">
        <w:rPr>
          <w:rFonts w:ascii="Arial" w:hAnsi="Arial" w:cs="Arial"/>
          <w:bCs/>
          <w:spacing w:val="-3"/>
          <w:sz w:val="22"/>
          <w:szCs w:val="22"/>
          <w:u w:val="single"/>
        </w:rPr>
        <w:t>d</w:t>
      </w:r>
      <w:r w:rsidRPr="009F4DB3">
        <w:rPr>
          <w:rFonts w:ascii="Arial" w:hAnsi="Arial" w:cs="Arial"/>
          <w:bCs/>
          <w:spacing w:val="-3"/>
          <w:sz w:val="22"/>
          <w:szCs w:val="22"/>
        </w:rPr>
        <w:t xml:space="preserve"> the introduction of the State Penalties Enforcement and Other Legislation Amendment Bill 2009</w:t>
      </w:r>
      <w:r w:rsidR="009F4DB3" w:rsidRPr="009F4DB3">
        <w:rPr>
          <w:rFonts w:ascii="Arial" w:hAnsi="Arial" w:cs="Arial"/>
          <w:bCs/>
          <w:spacing w:val="-3"/>
          <w:sz w:val="22"/>
          <w:szCs w:val="22"/>
        </w:rPr>
        <w:t xml:space="preserve"> into the Legislative Assembly. </w:t>
      </w:r>
    </w:p>
    <w:p w:rsidR="00075170" w:rsidRPr="006E0834" w:rsidRDefault="00075170" w:rsidP="00DD0A0E">
      <w:pPr>
        <w:numPr>
          <w:ilvl w:val="0"/>
          <w:numId w:val="47"/>
        </w:numPr>
        <w:tabs>
          <w:tab w:val="clear" w:pos="1080"/>
          <w:tab w:val="left" w:pos="426"/>
        </w:tabs>
        <w:spacing w:before="120"/>
        <w:ind w:left="425" w:hanging="425"/>
        <w:jc w:val="both"/>
        <w:rPr>
          <w:rFonts w:ascii="Arial" w:hAnsi="Arial" w:cs="Arial"/>
          <w:bCs/>
          <w:i/>
          <w:spacing w:val="-3"/>
          <w:sz w:val="22"/>
          <w:szCs w:val="22"/>
        </w:rPr>
      </w:pPr>
      <w:r w:rsidRPr="006E0834">
        <w:rPr>
          <w:rFonts w:ascii="Arial" w:hAnsi="Arial" w:cs="Arial"/>
          <w:bCs/>
          <w:i/>
          <w:spacing w:val="-3"/>
          <w:sz w:val="22"/>
          <w:szCs w:val="22"/>
          <w:u w:val="single"/>
        </w:rPr>
        <w:t>Attachments</w:t>
      </w:r>
    </w:p>
    <w:p w:rsidR="0030530F" w:rsidRDefault="0072493B" w:rsidP="00DD0A0E">
      <w:pPr>
        <w:numPr>
          <w:ilvl w:val="1"/>
          <w:numId w:val="47"/>
        </w:numPr>
        <w:tabs>
          <w:tab w:val="clear" w:pos="1495"/>
          <w:tab w:val="num" w:pos="851"/>
        </w:tabs>
        <w:spacing w:before="60"/>
        <w:ind w:left="850" w:hanging="425"/>
        <w:jc w:val="both"/>
        <w:rPr>
          <w:rFonts w:ascii="Arial" w:hAnsi="Arial" w:cs="Arial"/>
          <w:bCs/>
          <w:spacing w:val="-3"/>
          <w:sz w:val="22"/>
          <w:szCs w:val="22"/>
        </w:rPr>
      </w:pPr>
      <w:hyperlink r:id="rId7" w:history="1">
        <w:r w:rsidR="00075170" w:rsidRPr="006E0F19">
          <w:rPr>
            <w:rStyle w:val="Hyperlink"/>
            <w:rFonts w:ascii="Arial" w:hAnsi="Arial" w:cs="Arial"/>
            <w:bCs/>
            <w:spacing w:val="-3"/>
            <w:sz w:val="22"/>
            <w:szCs w:val="22"/>
          </w:rPr>
          <w:t>State Penalties Enforcement and Other Legislation Amendment Bill 2009</w:t>
        </w:r>
      </w:hyperlink>
    </w:p>
    <w:p w:rsidR="00075170" w:rsidRPr="00075170" w:rsidRDefault="0072493B" w:rsidP="00DD0A0E">
      <w:pPr>
        <w:numPr>
          <w:ilvl w:val="1"/>
          <w:numId w:val="47"/>
        </w:numPr>
        <w:tabs>
          <w:tab w:val="clear" w:pos="1495"/>
          <w:tab w:val="num" w:pos="851"/>
        </w:tabs>
        <w:spacing w:before="60"/>
        <w:ind w:left="850" w:hanging="425"/>
        <w:jc w:val="both"/>
        <w:rPr>
          <w:rFonts w:ascii="Arial" w:hAnsi="Arial" w:cs="Arial"/>
          <w:bCs/>
          <w:spacing w:val="-3"/>
          <w:sz w:val="22"/>
          <w:szCs w:val="22"/>
        </w:rPr>
      </w:pPr>
      <w:hyperlink r:id="rId8" w:history="1">
        <w:r w:rsidR="00075170" w:rsidRPr="006E0F19">
          <w:rPr>
            <w:rStyle w:val="Hyperlink"/>
            <w:rFonts w:ascii="Arial" w:hAnsi="Arial" w:cs="Arial"/>
            <w:bCs/>
            <w:spacing w:val="-3"/>
            <w:sz w:val="22"/>
            <w:szCs w:val="22"/>
          </w:rPr>
          <w:t>Explanatory Notes</w:t>
        </w:r>
      </w:hyperlink>
    </w:p>
    <w:p w:rsidR="002E287D" w:rsidRPr="00C07656" w:rsidRDefault="002E287D" w:rsidP="00DD0A0E">
      <w:pPr>
        <w:jc w:val="both"/>
        <w:rPr>
          <w:rFonts w:ascii="Arial" w:hAnsi="Arial" w:cs="Arial"/>
          <w:sz w:val="22"/>
          <w:szCs w:val="22"/>
        </w:rPr>
      </w:pPr>
    </w:p>
    <w:sectPr w:rsidR="002E287D" w:rsidRPr="00C07656" w:rsidSect="00B46A4E">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38" w:rsidRDefault="00185038">
      <w:r>
        <w:separator/>
      </w:r>
    </w:p>
  </w:endnote>
  <w:endnote w:type="continuationSeparator" w:id="0">
    <w:p w:rsidR="00185038" w:rsidRDefault="001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38" w:rsidRDefault="00185038">
      <w:r>
        <w:separator/>
      </w:r>
    </w:p>
  </w:footnote>
  <w:footnote w:type="continuationSeparator" w:id="0">
    <w:p w:rsidR="00185038" w:rsidRDefault="0018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3D" w:rsidRDefault="00797DBE" w:rsidP="00C2123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-423545</wp:posOffset>
          </wp:positionV>
          <wp:extent cx="1476375" cy="476250"/>
          <wp:effectExtent l="0" t="0" r="0" b="0"/>
          <wp:wrapNone/>
          <wp:docPr id="16" name="Picture 1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2123D">
      <w:rPr>
        <w:rFonts w:ascii="Arial" w:hAnsi="Arial" w:cs="Arial"/>
        <w:b/>
        <w:sz w:val="22"/>
        <w:szCs w:val="22"/>
        <w:u w:val="single"/>
      </w:rPr>
      <w:t>Cabinet – September 2009</w:t>
    </w:r>
  </w:p>
  <w:p w:rsidR="00C2123D" w:rsidRDefault="00C2123D" w:rsidP="00C2123D">
    <w:pPr>
      <w:pStyle w:val="Header"/>
      <w:spacing w:before="120"/>
      <w:rPr>
        <w:rFonts w:ascii="Arial" w:hAnsi="Arial" w:cs="Arial"/>
        <w:b/>
        <w:sz w:val="22"/>
        <w:szCs w:val="22"/>
        <w:u w:val="single"/>
      </w:rPr>
    </w:pPr>
    <w:r>
      <w:rPr>
        <w:rFonts w:ascii="Arial" w:hAnsi="Arial" w:cs="Arial"/>
        <w:b/>
        <w:sz w:val="22"/>
        <w:szCs w:val="22"/>
        <w:u w:val="single"/>
      </w:rPr>
      <w:t>Introduction of State Penalties Enforcement and Other Legislation Amendment Bill 2009</w:t>
    </w:r>
  </w:p>
  <w:p w:rsidR="00C2123D" w:rsidRDefault="00C2123D" w:rsidP="00C2123D">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C2123D" w:rsidRDefault="00C2123D" w:rsidP="00C2123D">
    <w:pPr>
      <w:pStyle w:val="Header"/>
      <w:pBdr>
        <w:bottom w:val="single" w:sz="8" w:space="1" w:color="auto"/>
      </w:pBdr>
      <w:spacing w:line="180" w:lineRule="exact"/>
      <w:rPr>
        <w:rFonts w:ascii="Arial" w:hAnsi="Arial" w:cs="Arial"/>
        <w:sz w:val="22"/>
        <w:szCs w:val="22"/>
      </w:rPr>
    </w:pPr>
  </w:p>
  <w:p w:rsidR="00C2123D" w:rsidRPr="006E0834" w:rsidRDefault="00C2123D">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6C83397"/>
    <w:multiLevelType w:val="multilevel"/>
    <w:tmpl w:val="8A1CDD2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95"/>
        </w:tabs>
        <w:ind w:left="1495"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7C1E8B"/>
    <w:multiLevelType w:val="hybridMultilevel"/>
    <w:tmpl w:val="F0800244"/>
    <w:lvl w:ilvl="0" w:tplc="40CEA036">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95"/>
        </w:tabs>
        <w:ind w:left="1495" w:hanging="360"/>
      </w:pPr>
      <w:rPr>
        <w:rFonts w:ascii="Symbol" w:hAnsi="Symbol" w:hint="default"/>
      </w:rPr>
    </w:lvl>
    <w:lvl w:ilvl="2" w:tplc="3BFCBD8C">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44E2AB3"/>
    <w:multiLevelType w:val="hybridMultilevel"/>
    <w:tmpl w:val="7B0278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7D1FBC"/>
    <w:multiLevelType w:val="multilevel"/>
    <w:tmpl w:val="C2248CF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5"/>
  </w:num>
  <w:num w:numId="4">
    <w:abstractNumId w:val="40"/>
  </w:num>
  <w:num w:numId="5">
    <w:abstractNumId w:val="17"/>
  </w:num>
  <w:num w:numId="6">
    <w:abstractNumId w:val="37"/>
  </w:num>
  <w:num w:numId="7">
    <w:abstractNumId w:val="6"/>
  </w:num>
  <w:num w:numId="8">
    <w:abstractNumId w:val="31"/>
  </w:num>
  <w:num w:numId="9">
    <w:abstractNumId w:val="29"/>
  </w:num>
  <w:num w:numId="10">
    <w:abstractNumId w:val="23"/>
  </w:num>
  <w:num w:numId="11">
    <w:abstractNumId w:val="7"/>
  </w:num>
  <w:num w:numId="12">
    <w:abstractNumId w:val="33"/>
  </w:num>
  <w:num w:numId="13">
    <w:abstractNumId w:val="24"/>
  </w:num>
  <w:num w:numId="14">
    <w:abstractNumId w:val="28"/>
  </w:num>
  <w:num w:numId="15">
    <w:abstractNumId w:val="38"/>
  </w:num>
  <w:num w:numId="16">
    <w:abstractNumId w:val="28"/>
  </w:num>
  <w:num w:numId="17">
    <w:abstractNumId w:val="4"/>
  </w:num>
  <w:num w:numId="18">
    <w:abstractNumId w:val="22"/>
  </w:num>
  <w:num w:numId="19">
    <w:abstractNumId w:val="1"/>
  </w:num>
  <w:num w:numId="20">
    <w:abstractNumId w:val="15"/>
  </w:num>
  <w:num w:numId="21">
    <w:abstractNumId w:val="1"/>
  </w:num>
  <w:num w:numId="22">
    <w:abstractNumId w:val="38"/>
  </w:num>
  <w:num w:numId="23">
    <w:abstractNumId w:val="28"/>
  </w:num>
  <w:num w:numId="24">
    <w:abstractNumId w:val="4"/>
  </w:num>
  <w:num w:numId="25">
    <w:abstractNumId w:val="22"/>
  </w:num>
  <w:num w:numId="26">
    <w:abstractNumId w:val="2"/>
  </w:num>
  <w:num w:numId="27">
    <w:abstractNumId w:val="34"/>
  </w:num>
  <w:num w:numId="28">
    <w:abstractNumId w:val="12"/>
  </w:num>
  <w:num w:numId="29">
    <w:abstractNumId w:val="41"/>
  </w:num>
  <w:num w:numId="30">
    <w:abstractNumId w:val="14"/>
  </w:num>
  <w:num w:numId="31">
    <w:abstractNumId w:val="9"/>
  </w:num>
  <w:num w:numId="32">
    <w:abstractNumId w:val="8"/>
  </w:num>
  <w:num w:numId="33">
    <w:abstractNumId w:val="27"/>
  </w:num>
  <w:num w:numId="34">
    <w:abstractNumId w:val="32"/>
  </w:num>
  <w:num w:numId="35">
    <w:abstractNumId w:val="35"/>
  </w:num>
  <w:num w:numId="36">
    <w:abstractNumId w:val="10"/>
  </w:num>
  <w:num w:numId="37">
    <w:abstractNumId w:val="36"/>
  </w:num>
  <w:num w:numId="38">
    <w:abstractNumId w:val="19"/>
  </w:num>
  <w:num w:numId="39">
    <w:abstractNumId w:val="18"/>
  </w:num>
  <w:num w:numId="40">
    <w:abstractNumId w:val="16"/>
  </w:num>
  <w:num w:numId="41">
    <w:abstractNumId w:val="5"/>
  </w:num>
  <w:num w:numId="42">
    <w:abstractNumId w:val="13"/>
  </w:num>
  <w:num w:numId="43">
    <w:abstractNumId w:val="42"/>
  </w:num>
  <w:num w:numId="44">
    <w:abstractNumId w:val="39"/>
  </w:num>
  <w:num w:numId="45">
    <w:abstractNumId w:val="3"/>
  </w:num>
  <w:num w:numId="46">
    <w:abstractNumId w:val="21"/>
  </w:num>
  <w:num w:numId="47">
    <w:abstractNumId w:val="20"/>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3065F"/>
    <w:rsid w:val="000455EC"/>
    <w:rsid w:val="0005520C"/>
    <w:rsid w:val="00060480"/>
    <w:rsid w:val="00075170"/>
    <w:rsid w:val="000851A4"/>
    <w:rsid w:val="000E20D0"/>
    <w:rsid w:val="000E5F36"/>
    <w:rsid w:val="00132D3F"/>
    <w:rsid w:val="001432CF"/>
    <w:rsid w:val="00152B45"/>
    <w:rsid w:val="00180EDB"/>
    <w:rsid w:val="00185038"/>
    <w:rsid w:val="00186FC3"/>
    <w:rsid w:val="00187946"/>
    <w:rsid w:val="001C5C47"/>
    <w:rsid w:val="001E34AA"/>
    <w:rsid w:val="001F02E8"/>
    <w:rsid w:val="001F24DD"/>
    <w:rsid w:val="00252E60"/>
    <w:rsid w:val="002676EC"/>
    <w:rsid w:val="00267A46"/>
    <w:rsid w:val="002806B7"/>
    <w:rsid w:val="0029502A"/>
    <w:rsid w:val="002B02FD"/>
    <w:rsid w:val="002D4245"/>
    <w:rsid w:val="002E287D"/>
    <w:rsid w:val="002E6CD8"/>
    <w:rsid w:val="003046FE"/>
    <w:rsid w:val="0030530F"/>
    <w:rsid w:val="00310F46"/>
    <w:rsid w:val="00312AA0"/>
    <w:rsid w:val="0032363D"/>
    <w:rsid w:val="00355094"/>
    <w:rsid w:val="00360FD6"/>
    <w:rsid w:val="00361B46"/>
    <w:rsid w:val="00361CD1"/>
    <w:rsid w:val="00392ABB"/>
    <w:rsid w:val="004367D0"/>
    <w:rsid w:val="00451A6D"/>
    <w:rsid w:val="0045700A"/>
    <w:rsid w:val="004635C1"/>
    <w:rsid w:val="00485E0A"/>
    <w:rsid w:val="004C565F"/>
    <w:rsid w:val="004C5A54"/>
    <w:rsid w:val="004E56C7"/>
    <w:rsid w:val="00515706"/>
    <w:rsid w:val="00522272"/>
    <w:rsid w:val="00535C56"/>
    <w:rsid w:val="00540C7B"/>
    <w:rsid w:val="005535C5"/>
    <w:rsid w:val="00560F27"/>
    <w:rsid w:val="005632B5"/>
    <w:rsid w:val="0056466F"/>
    <w:rsid w:val="00591C4E"/>
    <w:rsid w:val="00595143"/>
    <w:rsid w:val="0059637D"/>
    <w:rsid w:val="005975DB"/>
    <w:rsid w:val="005A2C11"/>
    <w:rsid w:val="005A5013"/>
    <w:rsid w:val="005B54B5"/>
    <w:rsid w:val="005D400B"/>
    <w:rsid w:val="005E408F"/>
    <w:rsid w:val="005F1ED3"/>
    <w:rsid w:val="006051CB"/>
    <w:rsid w:val="00614D3C"/>
    <w:rsid w:val="00627623"/>
    <w:rsid w:val="00630279"/>
    <w:rsid w:val="00631E60"/>
    <w:rsid w:val="0065620E"/>
    <w:rsid w:val="006862CE"/>
    <w:rsid w:val="006A1FA0"/>
    <w:rsid w:val="006D27D4"/>
    <w:rsid w:val="006D3F7D"/>
    <w:rsid w:val="006E0834"/>
    <w:rsid w:val="006E0F19"/>
    <w:rsid w:val="006F0676"/>
    <w:rsid w:val="006F2F07"/>
    <w:rsid w:val="006F3C18"/>
    <w:rsid w:val="006F43CA"/>
    <w:rsid w:val="00706B3C"/>
    <w:rsid w:val="00722D58"/>
    <w:rsid w:val="0072493B"/>
    <w:rsid w:val="007370E8"/>
    <w:rsid w:val="00747101"/>
    <w:rsid w:val="00752CFA"/>
    <w:rsid w:val="00774813"/>
    <w:rsid w:val="00797DBE"/>
    <w:rsid w:val="007A6B61"/>
    <w:rsid w:val="007B7EC7"/>
    <w:rsid w:val="007C5D57"/>
    <w:rsid w:val="007E18AD"/>
    <w:rsid w:val="00820DA3"/>
    <w:rsid w:val="00827922"/>
    <w:rsid w:val="00832E6D"/>
    <w:rsid w:val="0083708B"/>
    <w:rsid w:val="0085166C"/>
    <w:rsid w:val="008565FD"/>
    <w:rsid w:val="00856692"/>
    <w:rsid w:val="008668E1"/>
    <w:rsid w:val="008727EB"/>
    <w:rsid w:val="00887450"/>
    <w:rsid w:val="008A13EF"/>
    <w:rsid w:val="008A64D2"/>
    <w:rsid w:val="008B434F"/>
    <w:rsid w:val="008E368A"/>
    <w:rsid w:val="008F0528"/>
    <w:rsid w:val="008F6897"/>
    <w:rsid w:val="0090158F"/>
    <w:rsid w:val="009158FC"/>
    <w:rsid w:val="00925516"/>
    <w:rsid w:val="00936078"/>
    <w:rsid w:val="00952787"/>
    <w:rsid w:val="009710BC"/>
    <w:rsid w:val="009715B0"/>
    <w:rsid w:val="00997C80"/>
    <w:rsid w:val="009B581E"/>
    <w:rsid w:val="009D324F"/>
    <w:rsid w:val="009D461E"/>
    <w:rsid w:val="009E64A4"/>
    <w:rsid w:val="009F4DB3"/>
    <w:rsid w:val="009F5419"/>
    <w:rsid w:val="00A11FBB"/>
    <w:rsid w:val="00A50826"/>
    <w:rsid w:val="00A55E4D"/>
    <w:rsid w:val="00A6221E"/>
    <w:rsid w:val="00A96C88"/>
    <w:rsid w:val="00AC18A4"/>
    <w:rsid w:val="00AD277A"/>
    <w:rsid w:val="00AE6038"/>
    <w:rsid w:val="00B133B9"/>
    <w:rsid w:val="00B21F0C"/>
    <w:rsid w:val="00B258F7"/>
    <w:rsid w:val="00B26013"/>
    <w:rsid w:val="00B3321A"/>
    <w:rsid w:val="00B34EA8"/>
    <w:rsid w:val="00B46A4E"/>
    <w:rsid w:val="00B47527"/>
    <w:rsid w:val="00B577C5"/>
    <w:rsid w:val="00BB1DF0"/>
    <w:rsid w:val="00BB5E42"/>
    <w:rsid w:val="00BC4401"/>
    <w:rsid w:val="00BE437D"/>
    <w:rsid w:val="00BE6F32"/>
    <w:rsid w:val="00BF6981"/>
    <w:rsid w:val="00BF6FD4"/>
    <w:rsid w:val="00C12939"/>
    <w:rsid w:val="00C2123D"/>
    <w:rsid w:val="00C23ABB"/>
    <w:rsid w:val="00C2657F"/>
    <w:rsid w:val="00C30329"/>
    <w:rsid w:val="00C325A1"/>
    <w:rsid w:val="00C56904"/>
    <w:rsid w:val="00C8361E"/>
    <w:rsid w:val="00CB3466"/>
    <w:rsid w:val="00CC75AD"/>
    <w:rsid w:val="00CE05CC"/>
    <w:rsid w:val="00CE7993"/>
    <w:rsid w:val="00CF0639"/>
    <w:rsid w:val="00D242FE"/>
    <w:rsid w:val="00D44E94"/>
    <w:rsid w:val="00D65E90"/>
    <w:rsid w:val="00D82079"/>
    <w:rsid w:val="00DA4564"/>
    <w:rsid w:val="00DA66B6"/>
    <w:rsid w:val="00DC47ED"/>
    <w:rsid w:val="00DD0A0E"/>
    <w:rsid w:val="00E10C09"/>
    <w:rsid w:val="00E12EBA"/>
    <w:rsid w:val="00E211B0"/>
    <w:rsid w:val="00E4797D"/>
    <w:rsid w:val="00E6758B"/>
    <w:rsid w:val="00E70A75"/>
    <w:rsid w:val="00E7299C"/>
    <w:rsid w:val="00E7512E"/>
    <w:rsid w:val="00E775F7"/>
    <w:rsid w:val="00E86C96"/>
    <w:rsid w:val="00E96B91"/>
    <w:rsid w:val="00EA6D8A"/>
    <w:rsid w:val="00EB4CD3"/>
    <w:rsid w:val="00EC06FB"/>
    <w:rsid w:val="00EE4BD1"/>
    <w:rsid w:val="00EE5B20"/>
    <w:rsid w:val="00EF4CD1"/>
    <w:rsid w:val="00F17536"/>
    <w:rsid w:val="00FB44DA"/>
    <w:rsid w:val="00FD6F0A"/>
    <w:rsid w:val="00FE16C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9041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tatePEnfOLAB09Exp.pdf" TargetMode="External"/><Relationship Id="rId3" Type="http://schemas.openxmlformats.org/officeDocument/2006/relationships/settings" Target="settings.xml"/><Relationship Id="rId7" Type="http://schemas.openxmlformats.org/officeDocument/2006/relationships/hyperlink" Target="Attachments/StatePEnfOLAB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stlevr\Local%20Settings\Temporary%20Internet%20Files\OLKDE\Authority%20to%20Introduce%20Bill%20v1%200%20Jan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 v1 0 Jan09.dot</Template>
  <TotalTime>0</TotalTime>
  <Pages>1</Pages>
  <Words>449</Words>
  <Characters>2624</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3072</CharactersWithSpaces>
  <SharedDoc>false</SharedDoc>
  <HyperlinkBase>https://www.cabinet.qld.gov.au/documents/2009/Sep/State Penalties EOLAB 2009/</HyperlinkBase>
  <HLinks>
    <vt:vector size="12" baseType="variant">
      <vt:variant>
        <vt:i4>6291575</vt:i4>
      </vt:variant>
      <vt:variant>
        <vt:i4>3</vt:i4>
      </vt:variant>
      <vt:variant>
        <vt:i4>0</vt:i4>
      </vt:variant>
      <vt:variant>
        <vt:i4>5</vt:i4>
      </vt:variant>
      <vt:variant>
        <vt:lpwstr>Attachments/StatePEnfOLAB09Exp.pdf</vt:lpwstr>
      </vt:variant>
      <vt:variant>
        <vt:lpwstr/>
      </vt:variant>
      <vt:variant>
        <vt:i4>2687029</vt:i4>
      </vt:variant>
      <vt:variant>
        <vt:i4>0</vt:i4>
      </vt:variant>
      <vt:variant>
        <vt:i4>0</vt:i4>
      </vt:variant>
      <vt:variant>
        <vt:i4>5</vt:i4>
      </vt:variant>
      <vt:variant>
        <vt:lpwstr>Attachments/StatePEnfOLAB09.pdf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dc:title>
  <dc:subject/>
  <dc:creator/>
  <cp:keywords>state,penalties,enforcement</cp:keywords>
  <dc:description/>
  <cp:lastModifiedBy/>
  <cp:revision>2</cp:revision>
  <cp:lastPrinted>2010-05-11T00:21:00Z</cp:lastPrinted>
  <dcterms:created xsi:type="dcterms:W3CDTF">2017-10-24T22:04:00Z</dcterms:created>
  <dcterms:modified xsi:type="dcterms:W3CDTF">2018-03-06T01:00:00Z</dcterms:modified>
  <cp:category>legislation,justice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194294221</vt:i4>
  </property>
  <property fmtid="{D5CDD505-2E9C-101B-9397-08002B2CF9AE}" pid="3" name="_NewReviewCycle">
    <vt:lpwstr/>
  </property>
  <property fmtid="{D5CDD505-2E9C-101B-9397-08002B2CF9AE}" pid="4" name="_ReviewingToolsShownOnce">
    <vt:lpwstr/>
  </property>
</Properties>
</file>